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997" w:type="dxa"/>
        <w:tblInd w:w="-224" w:type="dxa"/>
        <w:tblLayout w:type="fixed"/>
        <w:tblCellMar>
          <w:left w:w="57" w:type="dxa"/>
          <w:right w:w="57" w:type="dxa"/>
        </w:tblCellMar>
        <w:tblLook w:val="04A0" w:firstRow="1" w:lastRow="0" w:firstColumn="1" w:lastColumn="0" w:noHBand="0" w:noVBand="1"/>
      </w:tblPr>
      <w:tblGrid>
        <w:gridCol w:w="1276"/>
        <w:gridCol w:w="4382"/>
        <w:gridCol w:w="438"/>
        <w:gridCol w:w="1843"/>
        <w:gridCol w:w="3399"/>
        <w:gridCol w:w="1704"/>
        <w:gridCol w:w="2955"/>
      </w:tblGrid>
      <w:tr w:rsidR="006C18AB">
        <w:tc>
          <w:tcPr>
            <w:tcW w:w="1276" w:type="dxa"/>
            <w:vMerge w:val="restart"/>
            <w:tcBorders>
              <w:top w:val="single" w:sz="48" w:space="0" w:color="8DB3E2" w:themeColor="text2" w:themeTint="66"/>
              <w:left w:val="single" w:sz="48" w:space="0" w:color="8DB3E2" w:themeColor="text2" w:themeTint="66"/>
              <w:right w:val="single" w:sz="18" w:space="0" w:color="8DB3E2" w:themeColor="text2" w:themeTint="66"/>
            </w:tcBorders>
            <w:vAlign w:val="center"/>
          </w:tcPr>
          <w:p w:rsidR="00710CDF" w:rsidRDefault="00710CDF" w:rsidP="003C39DF">
            <w:pPr>
              <w:jc w:val="center"/>
            </w:pPr>
            <w:r>
              <w:t>Unit Title</w:t>
            </w:r>
            <w:r w:rsidR="008E71A4">
              <w:t>:</w:t>
            </w:r>
          </w:p>
        </w:tc>
        <w:tc>
          <w:tcPr>
            <w:tcW w:w="4382" w:type="dxa"/>
            <w:vMerge w:val="restart"/>
            <w:tcBorders>
              <w:top w:val="single" w:sz="48" w:space="0" w:color="8DB3E2" w:themeColor="text2" w:themeTint="66"/>
              <w:left w:val="single" w:sz="18" w:space="0" w:color="8DB3E2" w:themeColor="text2" w:themeTint="66"/>
              <w:right w:val="single" w:sz="48" w:space="0" w:color="8DB3E2" w:themeColor="text2" w:themeTint="66"/>
            </w:tcBorders>
            <w:vAlign w:val="center"/>
          </w:tcPr>
          <w:p w:rsidR="00710CDF" w:rsidRPr="0014351F" w:rsidRDefault="007E7614" w:rsidP="0014351F">
            <w:pPr>
              <w:jc w:val="center"/>
              <w:rPr>
                <w:sz w:val="40"/>
                <w:szCs w:val="40"/>
              </w:rPr>
            </w:pPr>
            <w:r>
              <w:rPr>
                <w:sz w:val="40"/>
                <w:szCs w:val="40"/>
              </w:rPr>
              <w:t>Our Senses</w:t>
            </w:r>
          </w:p>
        </w:tc>
        <w:tc>
          <w:tcPr>
            <w:tcW w:w="2281" w:type="dxa"/>
            <w:gridSpan w:val="2"/>
            <w:tcBorders>
              <w:top w:val="single" w:sz="48" w:space="0" w:color="8DB3E2" w:themeColor="text2" w:themeTint="66"/>
              <w:left w:val="single" w:sz="48" w:space="0" w:color="8DB3E2" w:themeColor="text2" w:themeTint="66"/>
              <w:bottom w:val="single" w:sz="18" w:space="0" w:color="8DB3E2" w:themeColor="text2" w:themeTint="66"/>
              <w:right w:val="single" w:sz="18" w:space="0" w:color="8DB3E2" w:themeColor="text2" w:themeTint="66"/>
            </w:tcBorders>
            <w:shd w:val="clear" w:color="auto" w:fill="auto"/>
            <w:vAlign w:val="center"/>
          </w:tcPr>
          <w:p w:rsidR="00710CDF" w:rsidRDefault="00710CDF" w:rsidP="00710CDF">
            <w:pPr>
              <w:jc w:val="center"/>
            </w:pPr>
            <w:r>
              <w:t>Organizing Theme</w:t>
            </w:r>
            <w:r w:rsidR="008E71A4">
              <w:t>:</w:t>
            </w:r>
          </w:p>
        </w:tc>
        <w:tc>
          <w:tcPr>
            <w:tcW w:w="3399" w:type="dxa"/>
            <w:tcBorders>
              <w:top w:val="single" w:sz="48" w:space="0" w:color="8DB3E2" w:themeColor="text2" w:themeTint="66"/>
              <w:left w:val="single" w:sz="18" w:space="0" w:color="8DB3E2" w:themeColor="text2" w:themeTint="66"/>
              <w:bottom w:val="single" w:sz="18" w:space="0" w:color="8DB3E2" w:themeColor="text2" w:themeTint="66"/>
              <w:right w:val="single" w:sz="48" w:space="0" w:color="8DB3E2" w:themeColor="text2" w:themeTint="66"/>
            </w:tcBorders>
            <w:vAlign w:val="center"/>
          </w:tcPr>
          <w:p w:rsidR="00710CDF" w:rsidRPr="002E6F8F" w:rsidRDefault="007E7614" w:rsidP="00710CDF">
            <w:pPr>
              <w:jc w:val="center"/>
              <w:rPr>
                <w:b/>
              </w:rPr>
            </w:pPr>
            <w:r>
              <w:rPr>
                <w:b/>
              </w:rPr>
              <w:t>Who we are</w:t>
            </w:r>
          </w:p>
        </w:tc>
        <w:tc>
          <w:tcPr>
            <w:tcW w:w="1704" w:type="dxa"/>
            <w:tcBorders>
              <w:top w:val="single" w:sz="48" w:space="0" w:color="8DB3E2" w:themeColor="text2" w:themeTint="66"/>
              <w:left w:val="single" w:sz="48" w:space="0" w:color="8DB3E2" w:themeColor="text2" w:themeTint="66"/>
              <w:bottom w:val="single" w:sz="18" w:space="0" w:color="8DB3E2" w:themeColor="text2" w:themeTint="66"/>
              <w:right w:val="single" w:sz="18" w:space="0" w:color="8DB3E2" w:themeColor="text2" w:themeTint="66"/>
            </w:tcBorders>
            <w:shd w:val="clear" w:color="auto" w:fill="auto"/>
            <w:vAlign w:val="center"/>
          </w:tcPr>
          <w:p w:rsidR="00710CDF" w:rsidRDefault="00710CDF" w:rsidP="00710CDF">
            <w:pPr>
              <w:jc w:val="center"/>
            </w:pPr>
            <w:r>
              <w:t>Proposed Dates</w:t>
            </w:r>
            <w:r w:rsidR="008E71A4">
              <w:t>:</w:t>
            </w:r>
          </w:p>
        </w:tc>
        <w:tc>
          <w:tcPr>
            <w:tcW w:w="2955" w:type="dxa"/>
            <w:tcBorders>
              <w:top w:val="single" w:sz="48" w:space="0" w:color="8DB3E2" w:themeColor="text2" w:themeTint="66"/>
              <w:left w:val="single" w:sz="18" w:space="0" w:color="8DB3E2" w:themeColor="text2" w:themeTint="66"/>
              <w:bottom w:val="single" w:sz="18" w:space="0" w:color="8DB3E2" w:themeColor="text2" w:themeTint="66"/>
              <w:right w:val="single" w:sz="48" w:space="0" w:color="8DB3E2" w:themeColor="text2" w:themeTint="66"/>
            </w:tcBorders>
            <w:vAlign w:val="center"/>
          </w:tcPr>
          <w:p w:rsidR="00710CDF" w:rsidRPr="00EA37DA" w:rsidRDefault="00105AD9" w:rsidP="007E7614">
            <w:pPr>
              <w:jc w:val="center"/>
              <w:rPr>
                <w:b/>
              </w:rPr>
            </w:pPr>
            <w:r>
              <w:rPr>
                <w:b/>
              </w:rPr>
              <w:t>October 4</w:t>
            </w:r>
            <w:r w:rsidRPr="00105AD9">
              <w:rPr>
                <w:b/>
                <w:vertAlign w:val="superscript"/>
              </w:rPr>
              <w:t>th</w:t>
            </w:r>
            <w:r w:rsidR="004905E7">
              <w:rPr>
                <w:b/>
              </w:rPr>
              <w:t xml:space="preserve"> </w:t>
            </w:r>
            <w:r w:rsidR="00993BDE">
              <w:rPr>
                <w:b/>
              </w:rPr>
              <w:t xml:space="preserve"> –</w:t>
            </w:r>
            <w:r>
              <w:rPr>
                <w:b/>
              </w:rPr>
              <w:t xml:space="preserve"> November 19</w:t>
            </w:r>
            <w:r w:rsidR="007E7614">
              <w:rPr>
                <w:b/>
              </w:rPr>
              <w:t>th</w:t>
            </w:r>
            <w:r w:rsidR="0077388F">
              <w:rPr>
                <w:b/>
              </w:rPr>
              <w:t xml:space="preserve"> </w:t>
            </w:r>
          </w:p>
        </w:tc>
      </w:tr>
      <w:tr w:rsidR="006C18AB">
        <w:tc>
          <w:tcPr>
            <w:tcW w:w="1276" w:type="dxa"/>
            <w:vMerge/>
            <w:tcBorders>
              <w:left w:val="single" w:sz="48" w:space="0" w:color="8DB3E2" w:themeColor="text2" w:themeTint="66"/>
              <w:bottom w:val="single" w:sz="48" w:space="0" w:color="8DB3E2" w:themeColor="text2" w:themeTint="66"/>
              <w:right w:val="single" w:sz="18" w:space="0" w:color="8DB3E2" w:themeColor="text2" w:themeTint="66"/>
            </w:tcBorders>
            <w:vAlign w:val="center"/>
          </w:tcPr>
          <w:p w:rsidR="00710CDF" w:rsidRDefault="00710CDF" w:rsidP="003C39DF">
            <w:pPr>
              <w:jc w:val="center"/>
            </w:pPr>
          </w:p>
        </w:tc>
        <w:tc>
          <w:tcPr>
            <w:tcW w:w="4382" w:type="dxa"/>
            <w:vMerge/>
            <w:tcBorders>
              <w:left w:val="single" w:sz="18" w:space="0" w:color="8DB3E2" w:themeColor="text2" w:themeTint="66"/>
              <w:bottom w:val="single" w:sz="48" w:space="0" w:color="8DB3E2" w:themeColor="text2" w:themeTint="66"/>
              <w:right w:val="single" w:sz="48" w:space="0" w:color="8DB3E2" w:themeColor="text2" w:themeTint="66"/>
            </w:tcBorders>
          </w:tcPr>
          <w:p w:rsidR="00710CDF" w:rsidRDefault="00710CDF" w:rsidP="00A44C8F"/>
        </w:tc>
        <w:tc>
          <w:tcPr>
            <w:tcW w:w="2281" w:type="dxa"/>
            <w:gridSpan w:val="2"/>
            <w:tcBorders>
              <w:top w:val="single" w:sz="18" w:space="0" w:color="8DB3E2" w:themeColor="text2" w:themeTint="66"/>
              <w:left w:val="single" w:sz="48" w:space="0" w:color="8DB3E2" w:themeColor="text2" w:themeTint="66"/>
              <w:bottom w:val="single" w:sz="48" w:space="0" w:color="8DB3E2" w:themeColor="text2" w:themeTint="66"/>
              <w:right w:val="single" w:sz="18" w:space="0" w:color="8DB3E2" w:themeColor="text2" w:themeTint="66"/>
            </w:tcBorders>
            <w:shd w:val="clear" w:color="auto" w:fill="auto"/>
            <w:vAlign w:val="center"/>
          </w:tcPr>
          <w:p w:rsidR="00710CDF" w:rsidRDefault="00710CDF" w:rsidP="00710CDF">
            <w:pPr>
              <w:jc w:val="center"/>
            </w:pPr>
            <w:r>
              <w:t>Focus</w:t>
            </w:r>
            <w:r w:rsidR="008E71A4">
              <w:t>:</w:t>
            </w:r>
          </w:p>
        </w:tc>
        <w:tc>
          <w:tcPr>
            <w:tcW w:w="3399" w:type="dxa"/>
            <w:tcBorders>
              <w:top w:val="single" w:sz="18" w:space="0" w:color="8DB3E2" w:themeColor="text2" w:themeTint="66"/>
              <w:left w:val="single" w:sz="18" w:space="0" w:color="8DB3E2" w:themeColor="text2" w:themeTint="66"/>
              <w:bottom w:val="single" w:sz="48" w:space="0" w:color="8DB3E2" w:themeColor="text2" w:themeTint="66"/>
              <w:right w:val="single" w:sz="48" w:space="0" w:color="8DB3E2" w:themeColor="text2" w:themeTint="66"/>
            </w:tcBorders>
            <w:vAlign w:val="center"/>
          </w:tcPr>
          <w:p w:rsidR="00710CDF" w:rsidRPr="00EA37DA" w:rsidRDefault="009D5E3C" w:rsidP="0077388F">
            <w:pPr>
              <w:ind w:left="-5" w:firstLine="5"/>
              <w:jc w:val="center"/>
              <w:rPr>
                <w:b/>
              </w:rPr>
            </w:pPr>
            <w:r>
              <w:rPr>
                <w:b/>
              </w:rPr>
              <w:t>Science</w:t>
            </w:r>
            <w:r w:rsidR="007E7614">
              <w:rPr>
                <w:b/>
              </w:rPr>
              <w:t>, Language</w:t>
            </w:r>
          </w:p>
        </w:tc>
        <w:tc>
          <w:tcPr>
            <w:tcW w:w="1704" w:type="dxa"/>
            <w:tcBorders>
              <w:top w:val="single" w:sz="18" w:space="0" w:color="8DB3E2" w:themeColor="text2" w:themeTint="66"/>
              <w:left w:val="single" w:sz="48" w:space="0" w:color="8DB3E2" w:themeColor="text2" w:themeTint="66"/>
              <w:bottom w:val="single" w:sz="48" w:space="0" w:color="8DB3E2" w:themeColor="text2" w:themeTint="66"/>
              <w:right w:val="single" w:sz="18" w:space="0" w:color="8DB3E2" w:themeColor="text2" w:themeTint="66"/>
            </w:tcBorders>
            <w:shd w:val="clear" w:color="auto" w:fill="auto"/>
            <w:vAlign w:val="center"/>
          </w:tcPr>
          <w:p w:rsidR="00710CDF" w:rsidRDefault="00710CDF" w:rsidP="00710CDF">
            <w:pPr>
              <w:jc w:val="center"/>
            </w:pPr>
            <w:r>
              <w:t>Concepts</w:t>
            </w:r>
            <w:r w:rsidR="008E71A4">
              <w:t>:</w:t>
            </w:r>
          </w:p>
        </w:tc>
        <w:tc>
          <w:tcPr>
            <w:tcW w:w="2955" w:type="dxa"/>
            <w:tcBorders>
              <w:top w:val="single" w:sz="18" w:space="0" w:color="8DB3E2" w:themeColor="text2" w:themeTint="66"/>
              <w:left w:val="single" w:sz="18" w:space="0" w:color="8DB3E2" w:themeColor="text2" w:themeTint="66"/>
              <w:bottom w:val="single" w:sz="48" w:space="0" w:color="8DB3E2" w:themeColor="text2" w:themeTint="66"/>
              <w:right w:val="single" w:sz="48" w:space="0" w:color="8DB3E2" w:themeColor="text2" w:themeTint="66"/>
            </w:tcBorders>
            <w:vAlign w:val="center"/>
          </w:tcPr>
          <w:p w:rsidR="00710CDF" w:rsidRPr="009D5E3C" w:rsidRDefault="007E7614" w:rsidP="00710CDF">
            <w:pPr>
              <w:jc w:val="center"/>
              <w:rPr>
                <w:b/>
                <w:sz w:val="24"/>
                <w:szCs w:val="24"/>
              </w:rPr>
            </w:pPr>
            <w:r>
              <w:rPr>
                <w:b/>
              </w:rPr>
              <w:t>Form, Function, Connection</w:t>
            </w:r>
          </w:p>
        </w:tc>
      </w:tr>
      <w:tr w:rsidR="00751497" w:rsidTr="00751497">
        <w:trPr>
          <w:trHeight w:val="794"/>
        </w:trPr>
        <w:tc>
          <w:tcPr>
            <w:tcW w:w="1276" w:type="dxa"/>
            <w:tcBorders>
              <w:top w:val="single" w:sz="48" w:space="0" w:color="8DB3E2" w:themeColor="text2" w:themeTint="66"/>
              <w:left w:val="single" w:sz="48" w:space="0" w:color="8DB3E2" w:themeColor="text2" w:themeTint="66"/>
              <w:bottom w:val="single" w:sz="4" w:space="0" w:color="000000" w:themeColor="text1"/>
              <w:right w:val="single" w:sz="18" w:space="0" w:color="8DB3E2" w:themeColor="text2" w:themeTint="66"/>
            </w:tcBorders>
            <w:vAlign w:val="center"/>
          </w:tcPr>
          <w:p w:rsidR="00751497" w:rsidRDefault="00751497" w:rsidP="003C39DF">
            <w:pPr>
              <w:jc w:val="center"/>
            </w:pPr>
            <w:r>
              <w:t xml:space="preserve">Central </w:t>
            </w:r>
          </w:p>
          <w:p w:rsidR="00751497" w:rsidRDefault="00751497" w:rsidP="003C39DF">
            <w:pPr>
              <w:jc w:val="center"/>
            </w:pPr>
            <w:r>
              <w:t>Idea:</w:t>
            </w:r>
          </w:p>
        </w:tc>
        <w:tc>
          <w:tcPr>
            <w:tcW w:w="4382" w:type="dxa"/>
            <w:tcBorders>
              <w:top w:val="single" w:sz="48" w:space="0" w:color="8DB3E2" w:themeColor="text2" w:themeTint="66"/>
              <w:left w:val="single" w:sz="18" w:space="0" w:color="8DB3E2" w:themeColor="text2" w:themeTint="66"/>
              <w:bottom w:val="single" w:sz="4" w:space="0" w:color="000000" w:themeColor="text1"/>
              <w:right w:val="single" w:sz="48" w:space="0" w:color="8DB3E2" w:themeColor="text2" w:themeTint="66"/>
            </w:tcBorders>
            <w:vAlign w:val="center"/>
          </w:tcPr>
          <w:p w:rsidR="00751497" w:rsidRPr="009D5E3C" w:rsidRDefault="007E7614" w:rsidP="00710CDF">
            <w:pPr>
              <w:ind w:left="133"/>
              <w:rPr>
                <w:b/>
                <w:sz w:val="28"/>
                <w:szCs w:val="28"/>
              </w:rPr>
            </w:pPr>
            <w:r>
              <w:rPr>
                <w:sz w:val="28"/>
                <w:szCs w:val="28"/>
              </w:rPr>
              <w:t>We use our senses to find out about ourselves, each other and the environment</w:t>
            </w:r>
            <w:r w:rsidR="00751497" w:rsidRPr="009D5E3C">
              <w:rPr>
                <w:sz w:val="28"/>
                <w:szCs w:val="28"/>
              </w:rPr>
              <w:t>.</w:t>
            </w:r>
          </w:p>
        </w:tc>
        <w:tc>
          <w:tcPr>
            <w:tcW w:w="438" w:type="dxa"/>
            <w:vMerge w:val="restart"/>
            <w:tcBorders>
              <w:top w:val="single" w:sz="48" w:space="0" w:color="8DB3E2" w:themeColor="text2" w:themeTint="66"/>
              <w:left w:val="single" w:sz="48" w:space="0" w:color="8DB3E2" w:themeColor="text2" w:themeTint="66"/>
              <w:right w:val="single" w:sz="18" w:space="0" w:color="8DB3E2" w:themeColor="text2" w:themeTint="66"/>
            </w:tcBorders>
            <w:shd w:val="clear" w:color="auto" w:fill="auto"/>
            <w:textDirection w:val="btLr"/>
            <w:vAlign w:val="center"/>
          </w:tcPr>
          <w:p w:rsidR="00751497" w:rsidRPr="00751497" w:rsidRDefault="00751497" w:rsidP="00751497">
            <w:pPr>
              <w:ind w:left="113" w:right="113"/>
            </w:pPr>
            <w:r w:rsidRPr="00751497">
              <w:t>Teacher Questions</w:t>
            </w:r>
          </w:p>
        </w:tc>
        <w:tc>
          <w:tcPr>
            <w:tcW w:w="9901" w:type="dxa"/>
            <w:gridSpan w:val="4"/>
            <w:vMerge w:val="restart"/>
            <w:tcBorders>
              <w:top w:val="single" w:sz="48" w:space="0" w:color="8DB3E2" w:themeColor="text2" w:themeTint="66"/>
              <w:left w:val="single" w:sz="18" w:space="0" w:color="8DB3E2" w:themeColor="text2" w:themeTint="66"/>
              <w:right w:val="single" w:sz="48" w:space="0" w:color="8DB3E2" w:themeColor="text2" w:themeTint="66"/>
            </w:tcBorders>
            <w:shd w:val="clear" w:color="auto" w:fill="auto"/>
            <w:vAlign w:val="center"/>
          </w:tcPr>
          <w:p w:rsidR="007E7614" w:rsidRPr="00FD69DC" w:rsidRDefault="007E7614" w:rsidP="007E7614">
            <w:pPr>
              <w:widowControl w:val="0"/>
              <w:suppressAutoHyphens/>
              <w:rPr>
                <w:rFonts w:ascii="Arial Narrow" w:hAnsi="Arial Narrow"/>
                <w:i/>
                <w:iCs/>
                <w:sz w:val="19"/>
                <w:szCs w:val="19"/>
              </w:rPr>
            </w:pPr>
            <w:r w:rsidRPr="00FD69DC">
              <w:rPr>
                <w:rFonts w:ascii="Arial Narrow" w:hAnsi="Arial Narrow"/>
                <w:i/>
                <w:iCs/>
                <w:sz w:val="19"/>
                <w:szCs w:val="19"/>
              </w:rPr>
              <w:t>What was that?</w:t>
            </w:r>
            <w:r w:rsidR="004905E7">
              <w:rPr>
                <w:rFonts w:ascii="Arial Narrow" w:hAnsi="Arial Narrow"/>
                <w:i/>
                <w:iCs/>
                <w:sz w:val="19"/>
                <w:szCs w:val="19"/>
              </w:rPr>
              <w:t xml:space="preserve"> Pertaining to the feely bag objects</w:t>
            </w:r>
          </w:p>
          <w:p w:rsidR="007E7614" w:rsidRPr="00FD69DC" w:rsidRDefault="007E7614" w:rsidP="007E7614">
            <w:pPr>
              <w:widowControl w:val="0"/>
              <w:suppressAutoHyphens/>
              <w:rPr>
                <w:rFonts w:ascii="Arial Narrow" w:hAnsi="Arial Narrow"/>
                <w:i/>
                <w:iCs/>
                <w:sz w:val="19"/>
                <w:szCs w:val="19"/>
              </w:rPr>
            </w:pPr>
            <w:r w:rsidRPr="00FD69DC">
              <w:rPr>
                <w:rFonts w:ascii="Arial Narrow" w:hAnsi="Arial Narrow"/>
                <w:i/>
                <w:iCs/>
                <w:sz w:val="19"/>
                <w:szCs w:val="19"/>
              </w:rPr>
              <w:t>Do you know what the five senses are?</w:t>
            </w:r>
          </w:p>
          <w:p w:rsidR="007E7614" w:rsidRPr="00FD69DC" w:rsidRDefault="007E7614" w:rsidP="007E7614">
            <w:pPr>
              <w:widowControl w:val="0"/>
              <w:suppressAutoHyphens/>
              <w:rPr>
                <w:rFonts w:ascii="Arial Narrow" w:hAnsi="Arial Narrow"/>
                <w:i/>
                <w:iCs/>
                <w:sz w:val="19"/>
                <w:szCs w:val="19"/>
              </w:rPr>
            </w:pPr>
            <w:r w:rsidRPr="00FD69DC">
              <w:rPr>
                <w:rFonts w:ascii="Arial Narrow" w:hAnsi="Arial Narrow"/>
                <w:i/>
                <w:iCs/>
                <w:sz w:val="19"/>
                <w:szCs w:val="19"/>
              </w:rPr>
              <w:t>How do we know what that is?</w:t>
            </w:r>
          </w:p>
          <w:p w:rsidR="007E7614" w:rsidRPr="00FD69DC" w:rsidRDefault="007E7614" w:rsidP="007E7614">
            <w:pPr>
              <w:widowControl w:val="0"/>
              <w:suppressAutoHyphens/>
              <w:rPr>
                <w:rFonts w:ascii="Arial Narrow" w:hAnsi="Arial Narrow"/>
                <w:i/>
                <w:iCs/>
                <w:sz w:val="19"/>
                <w:szCs w:val="19"/>
              </w:rPr>
            </w:pPr>
            <w:r w:rsidRPr="00FD69DC">
              <w:rPr>
                <w:rFonts w:ascii="Arial Narrow" w:hAnsi="Arial Narrow"/>
                <w:i/>
                <w:iCs/>
                <w:sz w:val="19"/>
                <w:szCs w:val="19"/>
              </w:rPr>
              <w:t>What sense are we using?</w:t>
            </w:r>
          </w:p>
          <w:p w:rsidR="007E7614" w:rsidRPr="00FD69DC" w:rsidRDefault="007E7614" w:rsidP="007E7614">
            <w:pPr>
              <w:widowControl w:val="0"/>
              <w:suppressAutoHyphens/>
              <w:rPr>
                <w:rFonts w:ascii="Arial Narrow" w:hAnsi="Arial Narrow"/>
                <w:i/>
                <w:iCs/>
                <w:sz w:val="19"/>
                <w:szCs w:val="19"/>
              </w:rPr>
            </w:pPr>
            <w:r w:rsidRPr="00FD69DC">
              <w:rPr>
                <w:rFonts w:ascii="Arial Narrow" w:hAnsi="Arial Narrow"/>
                <w:i/>
                <w:iCs/>
                <w:sz w:val="19"/>
                <w:szCs w:val="19"/>
              </w:rPr>
              <w:t>What happens if you can’t use that sense?</w:t>
            </w:r>
          </w:p>
          <w:p w:rsidR="00751497" w:rsidRPr="007E7614" w:rsidRDefault="00751497" w:rsidP="007E7614">
            <w:pPr>
              <w:rPr>
                <w:b/>
                <w:i/>
              </w:rPr>
            </w:pPr>
          </w:p>
        </w:tc>
      </w:tr>
      <w:tr w:rsidR="00751497" w:rsidTr="00751497">
        <w:trPr>
          <w:trHeight w:val="1278"/>
        </w:trPr>
        <w:tc>
          <w:tcPr>
            <w:tcW w:w="1276" w:type="dxa"/>
            <w:tcBorders>
              <w:top w:val="single" w:sz="18" w:space="0" w:color="8DB3E2" w:themeColor="text2" w:themeTint="66"/>
              <w:left w:val="single" w:sz="48" w:space="0" w:color="8DB3E2" w:themeColor="text2" w:themeTint="66"/>
              <w:bottom w:val="single" w:sz="4" w:space="0" w:color="000000" w:themeColor="text1"/>
              <w:right w:val="single" w:sz="18" w:space="0" w:color="8DB3E2" w:themeColor="text2" w:themeTint="66"/>
            </w:tcBorders>
            <w:vAlign w:val="center"/>
          </w:tcPr>
          <w:p w:rsidR="00751497" w:rsidRDefault="00751497" w:rsidP="003C39DF">
            <w:pPr>
              <w:jc w:val="center"/>
            </w:pPr>
            <w:r>
              <w:t xml:space="preserve">Inquiry </w:t>
            </w:r>
          </w:p>
          <w:p w:rsidR="00751497" w:rsidRDefault="00751497" w:rsidP="003C39DF">
            <w:pPr>
              <w:jc w:val="center"/>
            </w:pPr>
            <w:r>
              <w:t>Into:</w:t>
            </w:r>
          </w:p>
        </w:tc>
        <w:tc>
          <w:tcPr>
            <w:tcW w:w="4382" w:type="dxa"/>
            <w:tcBorders>
              <w:top w:val="single" w:sz="18" w:space="0" w:color="8DB3E2" w:themeColor="text2" w:themeTint="66"/>
              <w:left w:val="single" w:sz="18" w:space="0" w:color="8DB3E2" w:themeColor="text2" w:themeTint="66"/>
              <w:bottom w:val="single" w:sz="4" w:space="0" w:color="000000" w:themeColor="text1"/>
              <w:right w:val="single" w:sz="48" w:space="0" w:color="8DB3E2" w:themeColor="text2" w:themeTint="66"/>
            </w:tcBorders>
            <w:vAlign w:val="center"/>
          </w:tcPr>
          <w:p w:rsidR="00751497" w:rsidRPr="004905E7" w:rsidRDefault="004905E7" w:rsidP="004905E7">
            <w:pPr>
              <w:pStyle w:val="ListParagraph"/>
              <w:numPr>
                <w:ilvl w:val="0"/>
                <w:numId w:val="4"/>
              </w:numPr>
              <w:rPr>
                <w:b/>
              </w:rPr>
            </w:pPr>
            <w:r>
              <w:rPr>
                <w:b/>
              </w:rPr>
              <w:t>The five senses</w:t>
            </w:r>
          </w:p>
          <w:p w:rsidR="007E7614" w:rsidRDefault="007E7614" w:rsidP="009D5E3C">
            <w:pPr>
              <w:pStyle w:val="ListParagraph"/>
              <w:numPr>
                <w:ilvl w:val="0"/>
                <w:numId w:val="4"/>
              </w:numPr>
              <w:rPr>
                <w:b/>
              </w:rPr>
            </w:pPr>
            <w:r>
              <w:rPr>
                <w:b/>
              </w:rPr>
              <w:t>How we use our senses</w:t>
            </w:r>
            <w:r w:rsidR="004905E7">
              <w:rPr>
                <w:b/>
              </w:rPr>
              <w:t xml:space="preserve"> to learn about the world</w:t>
            </w:r>
          </w:p>
          <w:p w:rsidR="007E7614" w:rsidRPr="00710CDF" w:rsidRDefault="007E7614" w:rsidP="009D5E3C">
            <w:pPr>
              <w:pStyle w:val="ListParagraph"/>
              <w:numPr>
                <w:ilvl w:val="0"/>
                <w:numId w:val="4"/>
              </w:numPr>
              <w:rPr>
                <w:b/>
              </w:rPr>
            </w:pPr>
            <w:r>
              <w:rPr>
                <w:b/>
              </w:rPr>
              <w:t xml:space="preserve">Why senses are important </w:t>
            </w:r>
            <w:r w:rsidR="004905E7">
              <w:rPr>
                <w:b/>
              </w:rPr>
              <w:t>and the impact of their absence</w:t>
            </w:r>
          </w:p>
        </w:tc>
        <w:tc>
          <w:tcPr>
            <w:tcW w:w="438" w:type="dxa"/>
            <w:vMerge/>
            <w:tcBorders>
              <w:left w:val="single" w:sz="48" w:space="0" w:color="8DB3E2" w:themeColor="text2" w:themeTint="66"/>
              <w:bottom w:val="single" w:sz="4" w:space="0" w:color="000000" w:themeColor="text1"/>
              <w:right w:val="single" w:sz="18" w:space="0" w:color="8DB3E2" w:themeColor="text2" w:themeTint="66"/>
            </w:tcBorders>
            <w:shd w:val="clear" w:color="auto" w:fill="auto"/>
            <w:vAlign w:val="center"/>
          </w:tcPr>
          <w:p w:rsidR="00751497" w:rsidRPr="00751497" w:rsidRDefault="00751497" w:rsidP="0077388F">
            <w:pPr>
              <w:rPr>
                <w:b/>
                <w:i/>
                <w:highlight w:val="yellow"/>
              </w:rPr>
            </w:pPr>
          </w:p>
        </w:tc>
        <w:tc>
          <w:tcPr>
            <w:tcW w:w="9901" w:type="dxa"/>
            <w:gridSpan w:val="4"/>
            <w:vMerge/>
            <w:tcBorders>
              <w:left w:val="single" w:sz="18" w:space="0" w:color="8DB3E2" w:themeColor="text2" w:themeTint="66"/>
              <w:bottom w:val="single" w:sz="4" w:space="0" w:color="000000" w:themeColor="text1"/>
              <w:right w:val="single" w:sz="48" w:space="0" w:color="8DB3E2" w:themeColor="text2" w:themeTint="66"/>
            </w:tcBorders>
            <w:shd w:val="clear" w:color="auto" w:fill="auto"/>
            <w:vAlign w:val="center"/>
          </w:tcPr>
          <w:p w:rsidR="00751497" w:rsidRPr="00751497" w:rsidRDefault="00751497" w:rsidP="0077388F">
            <w:pPr>
              <w:rPr>
                <w:b/>
                <w:i/>
                <w:highlight w:val="yellow"/>
              </w:rPr>
            </w:pPr>
          </w:p>
        </w:tc>
      </w:tr>
      <w:tr w:rsidR="002E3FCD">
        <w:tc>
          <w:tcPr>
            <w:tcW w:w="1276" w:type="dxa"/>
            <w:tcBorders>
              <w:top w:val="single" w:sz="48" w:space="0" w:color="8DB3E2" w:themeColor="text2" w:themeTint="66"/>
              <w:left w:val="single" w:sz="48" w:space="0" w:color="8DB3E2" w:themeColor="text2" w:themeTint="66"/>
              <w:bottom w:val="single" w:sz="18" w:space="0" w:color="8DB3E2" w:themeColor="text2" w:themeTint="66"/>
              <w:right w:val="single" w:sz="18" w:space="0" w:color="8DB3E2" w:themeColor="text2" w:themeTint="66"/>
            </w:tcBorders>
            <w:shd w:val="clear" w:color="auto" w:fill="8DB3E2" w:themeFill="text2" w:themeFillTint="66"/>
            <w:vAlign w:val="center"/>
          </w:tcPr>
          <w:p w:rsidR="002E3FCD" w:rsidRDefault="002E3FCD" w:rsidP="00FD0EFA">
            <w:pPr>
              <w:jc w:val="center"/>
            </w:pPr>
          </w:p>
        </w:tc>
        <w:tc>
          <w:tcPr>
            <w:tcW w:w="14721" w:type="dxa"/>
            <w:gridSpan w:val="6"/>
            <w:tcBorders>
              <w:top w:val="single" w:sz="48" w:space="0" w:color="8DB3E2" w:themeColor="text2" w:themeTint="66"/>
              <w:left w:val="single" w:sz="18" w:space="0" w:color="8DB3E2" w:themeColor="text2" w:themeTint="66"/>
              <w:bottom w:val="single" w:sz="18" w:space="0" w:color="8DB3E2" w:themeColor="text2" w:themeTint="66"/>
              <w:right w:val="single" w:sz="48" w:space="0" w:color="8DB3E2" w:themeColor="text2" w:themeTint="66"/>
            </w:tcBorders>
            <w:vAlign w:val="center"/>
          </w:tcPr>
          <w:p w:rsidR="002E3FCD" w:rsidRDefault="003E12D6" w:rsidP="002E3FCD">
            <w:pPr>
              <w:jc w:val="center"/>
            </w:pPr>
            <w:r>
              <w:t>Possible l</w:t>
            </w:r>
            <w:r w:rsidR="002E3FCD">
              <w:t>earning experiences – these may take place in individual subject time, or within the Unit of Inquiry</w:t>
            </w:r>
          </w:p>
        </w:tc>
      </w:tr>
      <w:tr w:rsidR="009D5E3C" w:rsidTr="009D5E3C">
        <w:trPr>
          <w:trHeight w:val="697"/>
        </w:trPr>
        <w:tc>
          <w:tcPr>
            <w:tcW w:w="1276" w:type="dxa"/>
            <w:tcBorders>
              <w:top w:val="single" w:sz="18" w:space="0" w:color="8DB3E2" w:themeColor="text2" w:themeTint="66"/>
              <w:left w:val="single" w:sz="48" w:space="0" w:color="8DB3E2" w:themeColor="text2" w:themeTint="66"/>
              <w:right w:val="single" w:sz="18" w:space="0" w:color="8DB3E2" w:themeColor="text2" w:themeTint="66"/>
            </w:tcBorders>
            <w:vAlign w:val="center"/>
          </w:tcPr>
          <w:p w:rsidR="009D5E3C" w:rsidRDefault="009D5E3C" w:rsidP="00F939DF">
            <w:pPr>
              <w:jc w:val="center"/>
              <w:rPr>
                <w:b/>
              </w:rPr>
            </w:pPr>
            <w:r>
              <w:rPr>
                <w:b/>
              </w:rPr>
              <w:t>Literacy:</w:t>
            </w:r>
          </w:p>
          <w:p w:rsidR="009D5E3C" w:rsidRPr="006C18AB" w:rsidRDefault="009D5E3C" w:rsidP="00F939DF">
            <w:pPr>
              <w:jc w:val="center"/>
              <w:rPr>
                <w:b/>
                <w:i/>
              </w:rPr>
            </w:pPr>
            <w:r w:rsidRPr="006C18AB">
              <w:rPr>
                <w:b/>
                <w:i/>
              </w:rPr>
              <w:t>Reading</w:t>
            </w:r>
          </w:p>
        </w:tc>
        <w:tc>
          <w:tcPr>
            <w:tcW w:w="14721" w:type="dxa"/>
            <w:gridSpan w:val="6"/>
            <w:tcBorders>
              <w:top w:val="single" w:sz="18" w:space="0" w:color="8DB3E2" w:themeColor="text2" w:themeTint="66"/>
              <w:left w:val="single" w:sz="18" w:space="0" w:color="8DB3E2" w:themeColor="text2" w:themeTint="66"/>
              <w:right w:val="single" w:sz="48" w:space="0" w:color="8DB3E2" w:themeColor="text2" w:themeTint="66"/>
            </w:tcBorders>
          </w:tcPr>
          <w:p w:rsidR="009D5E3C" w:rsidRDefault="00607EAE" w:rsidP="007E7614">
            <w:pPr>
              <w:rPr>
                <w:sz w:val="18"/>
                <w:szCs w:val="18"/>
              </w:rPr>
            </w:pPr>
            <w:r>
              <w:rPr>
                <w:sz w:val="18"/>
                <w:szCs w:val="18"/>
              </w:rPr>
              <w:t xml:space="preserve">Explanations – We will be reading non-fiction texts relating to </w:t>
            </w:r>
            <w:r w:rsidR="007E7614">
              <w:rPr>
                <w:sz w:val="18"/>
                <w:szCs w:val="18"/>
              </w:rPr>
              <w:t>the five senses.</w:t>
            </w:r>
            <w:r>
              <w:rPr>
                <w:sz w:val="18"/>
                <w:szCs w:val="18"/>
              </w:rPr>
              <w:t xml:space="preserve">  </w:t>
            </w:r>
          </w:p>
          <w:p w:rsidR="009D5E3C" w:rsidRPr="001C220E" w:rsidRDefault="009D5E3C" w:rsidP="007E7614">
            <w:pPr>
              <w:rPr>
                <w:sz w:val="18"/>
                <w:szCs w:val="18"/>
              </w:rPr>
            </w:pPr>
            <w:r>
              <w:rPr>
                <w:sz w:val="18"/>
                <w:szCs w:val="18"/>
              </w:rPr>
              <w:t xml:space="preserve">Listening </w:t>
            </w:r>
            <w:r w:rsidR="004905E7">
              <w:rPr>
                <w:sz w:val="18"/>
                <w:szCs w:val="18"/>
              </w:rPr>
              <w:t>centres</w:t>
            </w:r>
            <w:r w:rsidR="003574C9">
              <w:rPr>
                <w:sz w:val="18"/>
                <w:szCs w:val="18"/>
              </w:rPr>
              <w:t xml:space="preserve"> </w:t>
            </w:r>
            <w:r w:rsidR="00607EAE">
              <w:rPr>
                <w:sz w:val="18"/>
                <w:szCs w:val="18"/>
              </w:rPr>
              <w:t>–</w:t>
            </w:r>
            <w:r w:rsidR="003574C9">
              <w:rPr>
                <w:sz w:val="18"/>
                <w:szCs w:val="18"/>
              </w:rPr>
              <w:t xml:space="preserve"> </w:t>
            </w:r>
            <w:r w:rsidR="00607EAE">
              <w:rPr>
                <w:sz w:val="18"/>
                <w:szCs w:val="18"/>
              </w:rPr>
              <w:t xml:space="preserve">Students will use listening centres to listen to stories and be encouraged to think about how </w:t>
            </w:r>
            <w:r w:rsidR="007E7614">
              <w:rPr>
                <w:sz w:val="18"/>
                <w:szCs w:val="18"/>
              </w:rPr>
              <w:t xml:space="preserve">our sense of hearing </w:t>
            </w:r>
            <w:r w:rsidR="00607EAE">
              <w:rPr>
                <w:sz w:val="18"/>
                <w:szCs w:val="18"/>
              </w:rPr>
              <w:t xml:space="preserve">helps us to enjoy stories. </w:t>
            </w:r>
          </w:p>
        </w:tc>
      </w:tr>
      <w:tr w:rsidR="009D5E3C" w:rsidTr="007C0522">
        <w:trPr>
          <w:trHeight w:val="660"/>
        </w:trPr>
        <w:tc>
          <w:tcPr>
            <w:tcW w:w="1276" w:type="dxa"/>
            <w:tcBorders>
              <w:left w:val="single" w:sz="48" w:space="0" w:color="8DB3E2" w:themeColor="text2" w:themeTint="66"/>
              <w:right w:val="single" w:sz="18" w:space="0" w:color="8DB3E2" w:themeColor="text2" w:themeTint="66"/>
            </w:tcBorders>
            <w:vAlign w:val="center"/>
          </w:tcPr>
          <w:p w:rsidR="009D5E3C" w:rsidRDefault="009D5E3C" w:rsidP="00F939DF">
            <w:pPr>
              <w:jc w:val="center"/>
              <w:rPr>
                <w:b/>
              </w:rPr>
            </w:pPr>
            <w:r>
              <w:rPr>
                <w:b/>
              </w:rPr>
              <w:t>Literacy:</w:t>
            </w:r>
          </w:p>
          <w:p w:rsidR="009D5E3C" w:rsidRPr="006C18AB" w:rsidRDefault="009D5E3C" w:rsidP="00F939DF">
            <w:pPr>
              <w:jc w:val="center"/>
              <w:rPr>
                <w:b/>
                <w:i/>
              </w:rPr>
            </w:pPr>
            <w:r w:rsidRPr="006C18AB">
              <w:rPr>
                <w:b/>
                <w:i/>
              </w:rPr>
              <w:t>Writing</w:t>
            </w:r>
          </w:p>
        </w:tc>
        <w:tc>
          <w:tcPr>
            <w:tcW w:w="14721" w:type="dxa"/>
            <w:gridSpan w:val="6"/>
            <w:tcBorders>
              <w:left w:val="single" w:sz="18" w:space="0" w:color="8DB3E2" w:themeColor="text2" w:themeTint="66"/>
              <w:right w:val="single" w:sz="48" w:space="0" w:color="8DB3E2" w:themeColor="text2" w:themeTint="66"/>
            </w:tcBorders>
          </w:tcPr>
          <w:p w:rsidR="00607EAE" w:rsidRPr="001C220E" w:rsidRDefault="00607EAE" w:rsidP="007C0522">
            <w:pPr>
              <w:rPr>
                <w:sz w:val="18"/>
                <w:szCs w:val="18"/>
              </w:rPr>
            </w:pPr>
            <w:r>
              <w:rPr>
                <w:sz w:val="18"/>
                <w:szCs w:val="18"/>
              </w:rPr>
              <w:t xml:space="preserve">Students will </w:t>
            </w:r>
            <w:r w:rsidR="007E7614">
              <w:rPr>
                <w:sz w:val="18"/>
                <w:szCs w:val="18"/>
              </w:rPr>
              <w:t>draw pictures to ref</w:t>
            </w:r>
            <w:r w:rsidR="004905E7">
              <w:rPr>
                <w:sz w:val="18"/>
                <w:szCs w:val="18"/>
              </w:rPr>
              <w:t>lect on unit related field trip and on their classroom experiences</w:t>
            </w:r>
            <w:r w:rsidR="007E7614">
              <w:rPr>
                <w:sz w:val="18"/>
                <w:szCs w:val="18"/>
              </w:rPr>
              <w:t>.</w:t>
            </w:r>
          </w:p>
        </w:tc>
      </w:tr>
      <w:tr w:rsidR="009D5E3C" w:rsidTr="009D5E3C">
        <w:trPr>
          <w:trHeight w:val="705"/>
        </w:trPr>
        <w:tc>
          <w:tcPr>
            <w:tcW w:w="1276" w:type="dxa"/>
            <w:tcBorders>
              <w:left w:val="single" w:sz="48" w:space="0" w:color="8DB3E2" w:themeColor="text2" w:themeTint="66"/>
              <w:right w:val="single" w:sz="18" w:space="0" w:color="8DB3E2" w:themeColor="text2" w:themeTint="66"/>
            </w:tcBorders>
            <w:vAlign w:val="center"/>
          </w:tcPr>
          <w:p w:rsidR="009D5E3C" w:rsidRPr="008E71A4" w:rsidRDefault="009D5E3C" w:rsidP="00F939DF">
            <w:pPr>
              <w:jc w:val="center"/>
              <w:rPr>
                <w:b/>
              </w:rPr>
            </w:pPr>
            <w:r w:rsidRPr="008E71A4">
              <w:rPr>
                <w:b/>
              </w:rPr>
              <w:t>Math</w:t>
            </w:r>
          </w:p>
        </w:tc>
        <w:tc>
          <w:tcPr>
            <w:tcW w:w="14721" w:type="dxa"/>
            <w:gridSpan w:val="6"/>
            <w:tcBorders>
              <w:left w:val="single" w:sz="18" w:space="0" w:color="8DB3E2" w:themeColor="text2" w:themeTint="66"/>
              <w:right w:val="single" w:sz="48" w:space="0" w:color="8DB3E2" w:themeColor="text2" w:themeTint="66"/>
            </w:tcBorders>
          </w:tcPr>
          <w:p w:rsidR="009D5E3C" w:rsidRDefault="007E7614" w:rsidP="007E7614">
            <w:pPr>
              <w:rPr>
                <w:sz w:val="18"/>
                <w:szCs w:val="18"/>
              </w:rPr>
            </w:pPr>
            <w:r>
              <w:rPr>
                <w:sz w:val="18"/>
                <w:szCs w:val="18"/>
              </w:rPr>
              <w:t xml:space="preserve">Sorting </w:t>
            </w:r>
          </w:p>
          <w:p w:rsidR="005665CE" w:rsidRDefault="006D1D09" w:rsidP="009D5E3C">
            <w:pPr>
              <w:rPr>
                <w:sz w:val="18"/>
                <w:szCs w:val="18"/>
              </w:rPr>
            </w:pPr>
            <w:r>
              <w:rPr>
                <w:sz w:val="18"/>
                <w:szCs w:val="18"/>
              </w:rPr>
              <w:t>Patterning-sound patterns</w:t>
            </w:r>
          </w:p>
          <w:p w:rsidR="006D1D09" w:rsidRPr="001C220E" w:rsidRDefault="006D1D09" w:rsidP="009D5E3C">
            <w:pPr>
              <w:rPr>
                <w:sz w:val="18"/>
                <w:szCs w:val="18"/>
              </w:rPr>
            </w:pPr>
            <w:r>
              <w:rPr>
                <w:sz w:val="18"/>
                <w:szCs w:val="18"/>
              </w:rPr>
              <w:t xml:space="preserve">Positional language-identifying direction of sound </w:t>
            </w:r>
          </w:p>
        </w:tc>
      </w:tr>
      <w:tr w:rsidR="009D5E3C" w:rsidTr="009D5E3C">
        <w:trPr>
          <w:trHeight w:val="603"/>
        </w:trPr>
        <w:tc>
          <w:tcPr>
            <w:tcW w:w="1276" w:type="dxa"/>
            <w:tcBorders>
              <w:left w:val="single" w:sz="48" w:space="0" w:color="8DB3E2" w:themeColor="text2" w:themeTint="66"/>
              <w:right w:val="single" w:sz="18" w:space="0" w:color="8DB3E2" w:themeColor="text2" w:themeTint="66"/>
            </w:tcBorders>
            <w:vAlign w:val="center"/>
          </w:tcPr>
          <w:p w:rsidR="009D5E3C" w:rsidRPr="008E71A4" w:rsidRDefault="009D5E3C" w:rsidP="00F939DF">
            <w:pPr>
              <w:jc w:val="center"/>
              <w:rPr>
                <w:b/>
              </w:rPr>
            </w:pPr>
            <w:r w:rsidRPr="008E71A4">
              <w:rPr>
                <w:b/>
              </w:rPr>
              <w:t>Music</w:t>
            </w:r>
          </w:p>
        </w:tc>
        <w:tc>
          <w:tcPr>
            <w:tcW w:w="14721" w:type="dxa"/>
            <w:gridSpan w:val="6"/>
            <w:tcBorders>
              <w:left w:val="single" w:sz="18" w:space="0" w:color="8DB3E2" w:themeColor="text2" w:themeTint="66"/>
              <w:right w:val="single" w:sz="48" w:space="0" w:color="8DB3E2" w:themeColor="text2" w:themeTint="66"/>
            </w:tcBorders>
          </w:tcPr>
          <w:p w:rsidR="000324C3" w:rsidRDefault="000324C3" w:rsidP="006D1D09">
            <w:pPr>
              <w:rPr>
                <w:sz w:val="18"/>
                <w:szCs w:val="18"/>
              </w:rPr>
            </w:pPr>
            <w:r>
              <w:rPr>
                <w:sz w:val="18"/>
                <w:szCs w:val="18"/>
              </w:rPr>
              <w:t>The children  will: -use</w:t>
            </w:r>
            <w:r w:rsidR="006D1D09">
              <w:rPr>
                <w:sz w:val="18"/>
                <w:szCs w:val="18"/>
              </w:rPr>
              <w:t xml:space="preserve"> </w:t>
            </w:r>
            <w:r>
              <w:rPr>
                <w:sz w:val="18"/>
                <w:szCs w:val="18"/>
              </w:rPr>
              <w:t>their</w:t>
            </w:r>
            <w:r w:rsidR="006D1D09">
              <w:rPr>
                <w:sz w:val="18"/>
                <w:szCs w:val="18"/>
              </w:rPr>
              <w:t xml:space="preserve"> sense of hearing to appre</w:t>
            </w:r>
            <w:r>
              <w:rPr>
                <w:sz w:val="18"/>
                <w:szCs w:val="18"/>
              </w:rPr>
              <w:t xml:space="preserve">ciate different styles of music, </w:t>
            </w:r>
          </w:p>
          <w:p w:rsidR="000324C3" w:rsidRDefault="000324C3" w:rsidP="006D1D09">
            <w:pPr>
              <w:rPr>
                <w:sz w:val="18"/>
                <w:szCs w:val="18"/>
              </w:rPr>
            </w:pPr>
            <w:r>
              <w:rPr>
                <w:sz w:val="18"/>
                <w:szCs w:val="18"/>
              </w:rPr>
              <w:t xml:space="preserve">                                 -use their sense of touch to explore different sound sources,</w:t>
            </w:r>
          </w:p>
          <w:p w:rsidR="000324C3" w:rsidRDefault="000324C3" w:rsidP="006D1D09">
            <w:pPr>
              <w:rPr>
                <w:sz w:val="18"/>
                <w:szCs w:val="18"/>
              </w:rPr>
            </w:pPr>
            <w:r>
              <w:rPr>
                <w:sz w:val="18"/>
                <w:szCs w:val="18"/>
              </w:rPr>
              <w:t xml:space="preserve">                                 - use their sense of sight to read symbolic notation.</w:t>
            </w:r>
          </w:p>
          <w:p w:rsidR="000324C3" w:rsidRDefault="000324C3" w:rsidP="006D1D09">
            <w:pPr>
              <w:rPr>
                <w:sz w:val="18"/>
                <w:szCs w:val="18"/>
              </w:rPr>
            </w:pPr>
            <w:r>
              <w:rPr>
                <w:sz w:val="18"/>
                <w:szCs w:val="18"/>
              </w:rPr>
              <w:t xml:space="preserve">                                 - </w:t>
            </w:r>
            <w:r w:rsidR="00C93193">
              <w:rPr>
                <w:sz w:val="18"/>
                <w:szCs w:val="18"/>
              </w:rPr>
              <w:t>practice</w:t>
            </w:r>
            <w:r w:rsidR="00105AD9">
              <w:rPr>
                <w:sz w:val="18"/>
                <w:szCs w:val="18"/>
              </w:rPr>
              <w:t xml:space="preserve"> </w:t>
            </w:r>
            <w:r>
              <w:rPr>
                <w:sz w:val="18"/>
                <w:szCs w:val="18"/>
              </w:rPr>
              <w:t>keep</w:t>
            </w:r>
            <w:r w:rsidR="007C0522">
              <w:rPr>
                <w:sz w:val="18"/>
                <w:szCs w:val="18"/>
              </w:rPr>
              <w:t>ing</w:t>
            </w:r>
            <w:r>
              <w:rPr>
                <w:sz w:val="18"/>
                <w:szCs w:val="18"/>
              </w:rPr>
              <w:t xml:space="preserve"> a steady beat as an accompaniment for simple group songs</w:t>
            </w:r>
            <w:r w:rsidR="00C00280">
              <w:rPr>
                <w:sz w:val="18"/>
                <w:szCs w:val="18"/>
              </w:rPr>
              <w:t xml:space="preserve"> and</w:t>
            </w:r>
            <w:r w:rsidR="00615E67">
              <w:rPr>
                <w:sz w:val="18"/>
                <w:szCs w:val="18"/>
              </w:rPr>
              <w:t xml:space="preserve"> as a body movements</w:t>
            </w:r>
            <w:r w:rsidR="00C00280">
              <w:rPr>
                <w:sz w:val="18"/>
                <w:szCs w:val="18"/>
              </w:rPr>
              <w:t xml:space="preserve"> </w:t>
            </w:r>
            <w:proofErr w:type="gramStart"/>
            <w:r w:rsidR="00C00280">
              <w:rPr>
                <w:sz w:val="18"/>
                <w:szCs w:val="18"/>
              </w:rPr>
              <w:t xml:space="preserve">response </w:t>
            </w:r>
            <w:r>
              <w:rPr>
                <w:sz w:val="18"/>
                <w:szCs w:val="18"/>
              </w:rPr>
              <w:t>.</w:t>
            </w:r>
            <w:proofErr w:type="gramEnd"/>
          </w:p>
          <w:p w:rsidR="009D5E3C" w:rsidRDefault="006D1D09" w:rsidP="006D1D09">
            <w:pPr>
              <w:rPr>
                <w:sz w:val="18"/>
                <w:szCs w:val="18"/>
              </w:rPr>
            </w:pPr>
            <w:r>
              <w:rPr>
                <w:sz w:val="18"/>
                <w:szCs w:val="18"/>
              </w:rPr>
              <w:t xml:space="preserve">  </w:t>
            </w:r>
            <w:r w:rsidR="000324C3">
              <w:rPr>
                <w:sz w:val="18"/>
                <w:szCs w:val="18"/>
              </w:rPr>
              <w:t xml:space="preserve">                               - explore different types of body percussion</w:t>
            </w:r>
          </w:p>
          <w:p w:rsidR="006D1D09" w:rsidRPr="00FA5CFB" w:rsidRDefault="00C00280" w:rsidP="00C00280">
            <w:pPr>
              <w:rPr>
                <w:sz w:val="18"/>
                <w:szCs w:val="18"/>
              </w:rPr>
            </w:pPr>
            <w:r>
              <w:rPr>
                <w:sz w:val="18"/>
                <w:szCs w:val="18"/>
              </w:rPr>
              <w:t xml:space="preserve">                                 - be introduced to simple percussion instruments </w:t>
            </w:r>
          </w:p>
        </w:tc>
      </w:tr>
      <w:tr w:rsidR="009D5E3C" w:rsidTr="009D5E3C">
        <w:trPr>
          <w:trHeight w:val="603"/>
        </w:trPr>
        <w:tc>
          <w:tcPr>
            <w:tcW w:w="1276" w:type="dxa"/>
            <w:tcBorders>
              <w:left w:val="single" w:sz="48" w:space="0" w:color="8DB3E2" w:themeColor="text2" w:themeTint="66"/>
              <w:right w:val="single" w:sz="18" w:space="0" w:color="8DB3E2" w:themeColor="text2" w:themeTint="66"/>
            </w:tcBorders>
            <w:vAlign w:val="center"/>
          </w:tcPr>
          <w:p w:rsidR="009D5E3C" w:rsidRPr="008E71A4" w:rsidRDefault="009D5E3C" w:rsidP="00F939DF">
            <w:pPr>
              <w:jc w:val="center"/>
              <w:rPr>
                <w:b/>
              </w:rPr>
            </w:pPr>
            <w:r w:rsidRPr="008E71A4">
              <w:rPr>
                <w:b/>
              </w:rPr>
              <w:t>P.E.</w:t>
            </w:r>
          </w:p>
        </w:tc>
        <w:tc>
          <w:tcPr>
            <w:tcW w:w="14721" w:type="dxa"/>
            <w:gridSpan w:val="6"/>
            <w:tcBorders>
              <w:left w:val="single" w:sz="18" w:space="0" w:color="8DB3E2" w:themeColor="text2" w:themeTint="66"/>
              <w:right w:val="single" w:sz="48" w:space="0" w:color="8DB3E2" w:themeColor="text2" w:themeTint="66"/>
            </w:tcBorders>
          </w:tcPr>
          <w:p w:rsidR="00E745D0" w:rsidRPr="00E745D0" w:rsidRDefault="001A6B9D" w:rsidP="009D5E3C">
            <w:pPr>
              <w:rPr>
                <w:b/>
                <w:sz w:val="18"/>
                <w:szCs w:val="18"/>
              </w:rPr>
            </w:pPr>
            <w:r w:rsidRPr="00E745D0">
              <w:rPr>
                <w:b/>
                <w:sz w:val="18"/>
                <w:szCs w:val="18"/>
              </w:rPr>
              <w:t>Adven</w:t>
            </w:r>
            <w:r w:rsidR="006A4B93">
              <w:rPr>
                <w:b/>
                <w:sz w:val="18"/>
                <w:szCs w:val="18"/>
              </w:rPr>
              <w:t>ture Challenge and Game Skills</w:t>
            </w:r>
          </w:p>
          <w:p w:rsidR="006D1D09" w:rsidRDefault="008333AB" w:rsidP="009D5E3C">
            <w:pPr>
              <w:rPr>
                <w:sz w:val="18"/>
                <w:szCs w:val="18"/>
              </w:rPr>
            </w:pPr>
            <w:r>
              <w:rPr>
                <w:sz w:val="18"/>
                <w:szCs w:val="18"/>
              </w:rPr>
              <w:t>Adventure Challenge</w:t>
            </w:r>
            <w:r w:rsidR="006A4B93">
              <w:rPr>
                <w:sz w:val="18"/>
                <w:szCs w:val="18"/>
              </w:rPr>
              <w:t xml:space="preserve">- </w:t>
            </w:r>
            <w:r w:rsidR="001A6B9D">
              <w:rPr>
                <w:sz w:val="18"/>
                <w:szCs w:val="18"/>
              </w:rPr>
              <w:t>students will practise using their senses of sight, touch, and hearing to perform obstacle courses. We will provide them the opportunity to practise without sight (blind-folded)</w:t>
            </w:r>
            <w:r w:rsidR="00E745D0">
              <w:rPr>
                <w:sz w:val="18"/>
                <w:szCs w:val="18"/>
              </w:rPr>
              <w:t xml:space="preserve"> to heighten</w:t>
            </w:r>
            <w:r w:rsidR="001A6B9D">
              <w:rPr>
                <w:sz w:val="18"/>
                <w:szCs w:val="18"/>
              </w:rPr>
              <w:t xml:space="preserve"> their awareness of using other senses. Important social skills</w:t>
            </w:r>
            <w:r w:rsidR="0001657C">
              <w:rPr>
                <w:sz w:val="18"/>
                <w:szCs w:val="18"/>
              </w:rPr>
              <w:t xml:space="preserve">, </w:t>
            </w:r>
            <w:r w:rsidR="00E745D0">
              <w:rPr>
                <w:sz w:val="18"/>
                <w:szCs w:val="18"/>
              </w:rPr>
              <w:t xml:space="preserve">like </w:t>
            </w:r>
            <w:r w:rsidR="00BF65DA">
              <w:rPr>
                <w:sz w:val="18"/>
                <w:szCs w:val="18"/>
              </w:rPr>
              <w:t>accepting responsibility, respecting others and cooperating</w:t>
            </w:r>
            <w:r w:rsidR="00E745D0">
              <w:rPr>
                <w:sz w:val="18"/>
                <w:szCs w:val="18"/>
              </w:rPr>
              <w:t xml:space="preserve"> will be important developments during all PE lessons.</w:t>
            </w:r>
            <w:r w:rsidR="00BF65DA">
              <w:rPr>
                <w:sz w:val="18"/>
                <w:szCs w:val="18"/>
              </w:rPr>
              <w:t xml:space="preserve"> Pupils will also develop a wide </w:t>
            </w:r>
            <w:r w:rsidR="00E745D0">
              <w:rPr>
                <w:sz w:val="18"/>
                <w:szCs w:val="18"/>
              </w:rPr>
              <w:t>ran</w:t>
            </w:r>
            <w:r w:rsidR="007C0522">
              <w:rPr>
                <w:sz w:val="18"/>
                <w:szCs w:val="18"/>
              </w:rPr>
              <w:t>ge of communication skills, and</w:t>
            </w:r>
            <w:r w:rsidR="00BF65DA">
              <w:rPr>
                <w:sz w:val="18"/>
                <w:szCs w:val="18"/>
              </w:rPr>
              <w:t xml:space="preserve"> a variety of </w:t>
            </w:r>
            <w:r w:rsidR="0001657C">
              <w:rPr>
                <w:sz w:val="18"/>
                <w:szCs w:val="18"/>
              </w:rPr>
              <w:t xml:space="preserve">self-management skills </w:t>
            </w:r>
            <w:r w:rsidR="00E745D0">
              <w:rPr>
                <w:sz w:val="18"/>
                <w:szCs w:val="18"/>
              </w:rPr>
              <w:t>with a special emphasis on</w:t>
            </w:r>
            <w:r w:rsidR="00BF65DA">
              <w:rPr>
                <w:sz w:val="18"/>
                <w:szCs w:val="18"/>
              </w:rPr>
              <w:t xml:space="preserve"> safety. </w:t>
            </w:r>
          </w:p>
          <w:p w:rsidR="006A4B93" w:rsidRDefault="006A4B93" w:rsidP="009D5E3C">
            <w:pPr>
              <w:rPr>
                <w:sz w:val="18"/>
                <w:szCs w:val="18"/>
              </w:rPr>
            </w:pPr>
            <w:r>
              <w:rPr>
                <w:sz w:val="18"/>
                <w:szCs w:val="18"/>
              </w:rPr>
              <w:t>Game Skills – Building an understanding of special awareness, hand eye coordination, fundamental motor skills by using various equipment, bean bag and ball games.  They will start to comprehend scoring, winning, and losing.</w:t>
            </w:r>
          </w:p>
          <w:p w:rsidR="006C05A2" w:rsidRPr="00FA5CFB" w:rsidRDefault="006C05A2" w:rsidP="009D5E3C">
            <w:pPr>
              <w:rPr>
                <w:sz w:val="18"/>
                <w:szCs w:val="18"/>
              </w:rPr>
            </w:pPr>
            <w:r>
              <w:rPr>
                <w:sz w:val="18"/>
                <w:szCs w:val="18"/>
              </w:rPr>
              <w:t xml:space="preserve"> </w:t>
            </w:r>
          </w:p>
        </w:tc>
      </w:tr>
      <w:tr w:rsidR="00CA1B56" w:rsidTr="009D5E3C">
        <w:trPr>
          <w:trHeight w:val="603"/>
        </w:trPr>
        <w:tc>
          <w:tcPr>
            <w:tcW w:w="1276" w:type="dxa"/>
            <w:tcBorders>
              <w:left w:val="single" w:sz="48" w:space="0" w:color="8DB3E2" w:themeColor="text2" w:themeTint="66"/>
              <w:right w:val="single" w:sz="18" w:space="0" w:color="8DB3E2" w:themeColor="text2" w:themeTint="66"/>
            </w:tcBorders>
            <w:vAlign w:val="center"/>
          </w:tcPr>
          <w:p w:rsidR="00CA1B56" w:rsidRPr="008E71A4" w:rsidRDefault="003D635B" w:rsidP="00F939DF">
            <w:pPr>
              <w:jc w:val="center"/>
              <w:rPr>
                <w:b/>
              </w:rPr>
            </w:pPr>
            <w:r>
              <w:rPr>
                <w:b/>
              </w:rPr>
              <w:t>Library</w:t>
            </w:r>
          </w:p>
        </w:tc>
        <w:tc>
          <w:tcPr>
            <w:tcW w:w="14721" w:type="dxa"/>
            <w:gridSpan w:val="6"/>
            <w:tcBorders>
              <w:left w:val="single" w:sz="18" w:space="0" w:color="8DB3E2" w:themeColor="text2" w:themeTint="66"/>
              <w:right w:val="single" w:sz="48" w:space="0" w:color="8DB3E2" w:themeColor="text2" w:themeTint="66"/>
            </w:tcBorders>
          </w:tcPr>
          <w:p w:rsidR="00105AD9" w:rsidRPr="00105AD9" w:rsidRDefault="00105AD9" w:rsidP="00105AD9">
            <w:pPr>
              <w:rPr>
                <w:sz w:val="18"/>
                <w:szCs w:val="18"/>
              </w:rPr>
            </w:pPr>
            <w:r w:rsidRPr="00105AD9">
              <w:rPr>
                <w:sz w:val="18"/>
                <w:szCs w:val="18"/>
              </w:rPr>
              <w:t>Students will continue to work on navigating the library and book care.</w:t>
            </w:r>
          </w:p>
          <w:p w:rsidR="00105AD9" w:rsidRPr="00105AD9" w:rsidRDefault="00105AD9" w:rsidP="00105AD9">
            <w:pPr>
              <w:rPr>
                <w:sz w:val="18"/>
                <w:szCs w:val="18"/>
              </w:rPr>
            </w:pPr>
            <w:r w:rsidRPr="00105AD9">
              <w:rPr>
                <w:sz w:val="18"/>
                <w:szCs w:val="18"/>
              </w:rPr>
              <w:t>Focus will be on how we use our senses to listen, look, touch, taste (a story)</w:t>
            </w:r>
            <w:r w:rsidR="007C0522">
              <w:rPr>
                <w:sz w:val="18"/>
                <w:szCs w:val="18"/>
              </w:rPr>
              <w:t>, and</w:t>
            </w:r>
            <w:r w:rsidRPr="00105AD9">
              <w:rPr>
                <w:sz w:val="18"/>
                <w:szCs w:val="18"/>
              </w:rPr>
              <w:t xml:space="preserve"> smelling stories.  This will be done through creative story telling using foods that can create wonder and ignite imagination.  The students will look at how a story might change if one of the senses was taken away and the effect this has on the way we can tell stories to people who may not have the sense of sight or hearing.  We will look at books written in Braille and books that are tactile books that can be listened to and those that are purely visual.</w:t>
            </w:r>
          </w:p>
          <w:p w:rsidR="00CA1B56" w:rsidRDefault="00CA1B56" w:rsidP="009D5E3C">
            <w:pPr>
              <w:rPr>
                <w:sz w:val="18"/>
                <w:szCs w:val="18"/>
              </w:rPr>
            </w:pPr>
          </w:p>
        </w:tc>
      </w:tr>
      <w:tr w:rsidR="009D5E3C" w:rsidTr="00F939DF">
        <w:trPr>
          <w:trHeight w:val="603"/>
        </w:trPr>
        <w:tc>
          <w:tcPr>
            <w:tcW w:w="1276" w:type="dxa"/>
            <w:tcBorders>
              <w:left w:val="single" w:sz="48" w:space="0" w:color="8DB3E2" w:themeColor="text2" w:themeTint="66"/>
              <w:right w:val="single" w:sz="18" w:space="0" w:color="8DB3E2" w:themeColor="text2" w:themeTint="66"/>
            </w:tcBorders>
            <w:vAlign w:val="center"/>
          </w:tcPr>
          <w:p w:rsidR="009D5E3C" w:rsidRPr="008E71A4" w:rsidRDefault="009D5E3C" w:rsidP="00F939DF">
            <w:pPr>
              <w:jc w:val="center"/>
              <w:rPr>
                <w:b/>
              </w:rPr>
            </w:pPr>
            <w:r>
              <w:rPr>
                <w:b/>
              </w:rPr>
              <w:t xml:space="preserve">The </w:t>
            </w:r>
            <w:r w:rsidRPr="008E71A4">
              <w:rPr>
                <w:b/>
              </w:rPr>
              <w:t>Art</w:t>
            </w:r>
            <w:r>
              <w:rPr>
                <w:b/>
              </w:rPr>
              <w:t>s</w:t>
            </w:r>
          </w:p>
        </w:tc>
        <w:tc>
          <w:tcPr>
            <w:tcW w:w="14721" w:type="dxa"/>
            <w:gridSpan w:val="6"/>
            <w:tcBorders>
              <w:left w:val="single" w:sz="18" w:space="0" w:color="8DB3E2" w:themeColor="text2" w:themeTint="66"/>
              <w:right w:val="single" w:sz="48" w:space="0" w:color="8DB3E2" w:themeColor="text2" w:themeTint="66"/>
            </w:tcBorders>
            <w:vAlign w:val="center"/>
          </w:tcPr>
          <w:p w:rsidR="004905E7" w:rsidRPr="008E71A4" w:rsidRDefault="00105AD9" w:rsidP="00F939DF">
            <w:pPr>
              <w:rPr>
                <w:sz w:val="16"/>
                <w:szCs w:val="16"/>
              </w:rPr>
            </w:pPr>
            <w:r w:rsidRPr="0015197B">
              <w:rPr>
                <w:sz w:val="16"/>
                <w:szCs w:val="16"/>
              </w:rPr>
              <w:t>Children will explore their senses by using different art materials. They will make clay wind chimes. Using a mirror they will make an observational drawing of the eye. They will use herbs and spices to make scented art work and paint in response to listening to music. They will also make collages of fruits and vegetables and use fruits and vegetables to print.</w:t>
            </w:r>
          </w:p>
        </w:tc>
      </w:tr>
      <w:tr w:rsidR="00725405" w:rsidTr="00D713AD">
        <w:trPr>
          <w:trHeight w:val="603"/>
        </w:trPr>
        <w:tc>
          <w:tcPr>
            <w:tcW w:w="1276" w:type="dxa"/>
            <w:tcBorders>
              <w:left w:val="single" w:sz="48" w:space="0" w:color="8DB3E2" w:themeColor="text2" w:themeTint="66"/>
              <w:bottom w:val="single" w:sz="48" w:space="0" w:color="95B3D7" w:themeColor="accent1" w:themeTint="99"/>
              <w:right w:val="single" w:sz="18" w:space="0" w:color="8DB3E2" w:themeColor="text2" w:themeTint="66"/>
            </w:tcBorders>
            <w:vAlign w:val="center"/>
          </w:tcPr>
          <w:p w:rsidR="00725405" w:rsidRDefault="00725405" w:rsidP="00F939DF">
            <w:pPr>
              <w:jc w:val="center"/>
              <w:rPr>
                <w:b/>
              </w:rPr>
            </w:pPr>
            <w:r>
              <w:rPr>
                <w:b/>
              </w:rPr>
              <w:t>Field Trips/ Special Guests</w:t>
            </w:r>
          </w:p>
        </w:tc>
        <w:tc>
          <w:tcPr>
            <w:tcW w:w="14721" w:type="dxa"/>
            <w:gridSpan w:val="6"/>
            <w:tcBorders>
              <w:left w:val="single" w:sz="18" w:space="0" w:color="8DB3E2" w:themeColor="text2" w:themeTint="66"/>
              <w:bottom w:val="single" w:sz="48" w:space="0" w:color="95B3D7" w:themeColor="accent1" w:themeTint="99"/>
              <w:right w:val="single" w:sz="48" w:space="0" w:color="8DB3E2" w:themeColor="text2" w:themeTint="66"/>
            </w:tcBorders>
            <w:vAlign w:val="center"/>
          </w:tcPr>
          <w:p w:rsidR="00725405" w:rsidRDefault="006D1D09" w:rsidP="006D1D09">
            <w:pPr>
              <w:rPr>
                <w:sz w:val="16"/>
                <w:szCs w:val="16"/>
              </w:rPr>
            </w:pPr>
            <w:r>
              <w:rPr>
                <w:sz w:val="16"/>
                <w:szCs w:val="16"/>
              </w:rPr>
              <w:t>Spinneys supermarket- using our senses to explore our daily environment</w:t>
            </w:r>
          </w:p>
          <w:p w:rsidR="00725405" w:rsidRDefault="00725405" w:rsidP="006D1D09">
            <w:pPr>
              <w:rPr>
                <w:sz w:val="16"/>
                <w:szCs w:val="16"/>
              </w:rPr>
            </w:pPr>
            <w:r>
              <w:rPr>
                <w:sz w:val="16"/>
                <w:szCs w:val="16"/>
              </w:rPr>
              <w:t xml:space="preserve">Planetarium – </w:t>
            </w:r>
            <w:r w:rsidR="006D1D09">
              <w:rPr>
                <w:sz w:val="16"/>
                <w:szCs w:val="16"/>
              </w:rPr>
              <w:t>different sounds and their direction</w:t>
            </w:r>
          </w:p>
          <w:p w:rsidR="006D1D09" w:rsidRDefault="006D1D09" w:rsidP="006D1D09">
            <w:pPr>
              <w:rPr>
                <w:sz w:val="18"/>
                <w:szCs w:val="18"/>
              </w:rPr>
            </w:pPr>
            <w:r>
              <w:rPr>
                <w:sz w:val="16"/>
                <w:szCs w:val="16"/>
              </w:rPr>
              <w:t xml:space="preserve">Musical instrument demonstration- </w:t>
            </w:r>
            <w:r w:rsidR="00A31E00">
              <w:rPr>
                <w:sz w:val="18"/>
                <w:szCs w:val="18"/>
              </w:rPr>
              <w:t>d</w:t>
            </w:r>
            <w:bookmarkStart w:id="0" w:name="_GoBack"/>
            <w:bookmarkEnd w:id="0"/>
            <w:r>
              <w:rPr>
                <w:sz w:val="18"/>
                <w:szCs w:val="18"/>
              </w:rPr>
              <w:t>istinguishing between high/low sounds, loud/soft sounds.</w:t>
            </w:r>
          </w:p>
          <w:p w:rsidR="006D1D09" w:rsidRPr="008E71A4" w:rsidRDefault="006D1D09" w:rsidP="006D1D09">
            <w:pPr>
              <w:rPr>
                <w:sz w:val="16"/>
                <w:szCs w:val="16"/>
              </w:rPr>
            </w:pPr>
            <w:r>
              <w:rPr>
                <w:sz w:val="18"/>
                <w:szCs w:val="18"/>
              </w:rPr>
              <w:t>Sign language demonstration- exploring the absence of hearing and subsequent method of communication.</w:t>
            </w:r>
          </w:p>
        </w:tc>
      </w:tr>
    </w:tbl>
    <w:p w:rsidR="00A44C8F" w:rsidRPr="007C0522" w:rsidRDefault="00A44C8F">
      <w:pPr>
        <w:rPr>
          <w:sz w:val="14"/>
        </w:rPr>
      </w:pPr>
    </w:p>
    <w:sectPr w:rsidR="00A44C8F" w:rsidRPr="007C0522" w:rsidSect="008E71A4">
      <w:pgSz w:w="16838" w:h="11906" w:orient="landscape"/>
      <w:pgMar w:top="284"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76D2B"/>
    <w:multiLevelType w:val="hybridMultilevel"/>
    <w:tmpl w:val="9008F106"/>
    <w:lvl w:ilvl="0" w:tplc="064021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F40C7"/>
    <w:multiLevelType w:val="hybridMultilevel"/>
    <w:tmpl w:val="9886E9E4"/>
    <w:lvl w:ilvl="0" w:tplc="064021A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221E39"/>
    <w:multiLevelType w:val="hybridMultilevel"/>
    <w:tmpl w:val="5442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DE7077"/>
    <w:multiLevelType w:val="hybridMultilevel"/>
    <w:tmpl w:val="AB960A7C"/>
    <w:lvl w:ilvl="0" w:tplc="064021A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5F87294"/>
    <w:multiLevelType w:val="hybridMultilevel"/>
    <w:tmpl w:val="CB42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9E"/>
    <w:rsid w:val="0001657C"/>
    <w:rsid w:val="000324C3"/>
    <w:rsid w:val="00053EC9"/>
    <w:rsid w:val="00060F55"/>
    <w:rsid w:val="00105AD9"/>
    <w:rsid w:val="00114EB8"/>
    <w:rsid w:val="0014351F"/>
    <w:rsid w:val="001A6B9D"/>
    <w:rsid w:val="001B5514"/>
    <w:rsid w:val="001D32EE"/>
    <w:rsid w:val="002700DC"/>
    <w:rsid w:val="00273865"/>
    <w:rsid w:val="002814F3"/>
    <w:rsid w:val="002B7754"/>
    <w:rsid w:val="002E3FCD"/>
    <w:rsid w:val="002E6F8F"/>
    <w:rsid w:val="002F533F"/>
    <w:rsid w:val="003502D6"/>
    <w:rsid w:val="003574C9"/>
    <w:rsid w:val="003C39DF"/>
    <w:rsid w:val="003D635B"/>
    <w:rsid w:val="003E12D6"/>
    <w:rsid w:val="00461425"/>
    <w:rsid w:val="004905E7"/>
    <w:rsid w:val="004959AA"/>
    <w:rsid w:val="004D5BDE"/>
    <w:rsid w:val="00537149"/>
    <w:rsid w:val="005665CE"/>
    <w:rsid w:val="005857D4"/>
    <w:rsid w:val="0059316A"/>
    <w:rsid w:val="00596910"/>
    <w:rsid w:val="005C4A9E"/>
    <w:rsid w:val="005D6246"/>
    <w:rsid w:val="005F00BE"/>
    <w:rsid w:val="00607EAE"/>
    <w:rsid w:val="00615E67"/>
    <w:rsid w:val="006A4B93"/>
    <w:rsid w:val="006B040D"/>
    <w:rsid w:val="006C05A2"/>
    <w:rsid w:val="006C18AB"/>
    <w:rsid w:val="006C5FEB"/>
    <w:rsid w:val="006D1D09"/>
    <w:rsid w:val="006F66F8"/>
    <w:rsid w:val="00710CDF"/>
    <w:rsid w:val="007246E0"/>
    <w:rsid w:val="00725405"/>
    <w:rsid w:val="00751497"/>
    <w:rsid w:val="0077388F"/>
    <w:rsid w:val="007C0522"/>
    <w:rsid w:val="007E7614"/>
    <w:rsid w:val="008333AB"/>
    <w:rsid w:val="008449FD"/>
    <w:rsid w:val="008E71A4"/>
    <w:rsid w:val="00942564"/>
    <w:rsid w:val="00993BDE"/>
    <w:rsid w:val="009D5E3C"/>
    <w:rsid w:val="00A21574"/>
    <w:rsid w:val="00A22942"/>
    <w:rsid w:val="00A31E00"/>
    <w:rsid w:val="00A44C8F"/>
    <w:rsid w:val="00AC13CA"/>
    <w:rsid w:val="00B06C8C"/>
    <w:rsid w:val="00B117B5"/>
    <w:rsid w:val="00BA5B3D"/>
    <w:rsid w:val="00BF65DA"/>
    <w:rsid w:val="00C00280"/>
    <w:rsid w:val="00C45B32"/>
    <w:rsid w:val="00C65E77"/>
    <w:rsid w:val="00C74510"/>
    <w:rsid w:val="00C93193"/>
    <w:rsid w:val="00CA1B56"/>
    <w:rsid w:val="00D06029"/>
    <w:rsid w:val="00D321AA"/>
    <w:rsid w:val="00D713AD"/>
    <w:rsid w:val="00D80C2D"/>
    <w:rsid w:val="00D94D1C"/>
    <w:rsid w:val="00DA6AFE"/>
    <w:rsid w:val="00E160BF"/>
    <w:rsid w:val="00E55793"/>
    <w:rsid w:val="00E56529"/>
    <w:rsid w:val="00E745D0"/>
    <w:rsid w:val="00EA204B"/>
    <w:rsid w:val="00EA37DA"/>
    <w:rsid w:val="00ED1444"/>
    <w:rsid w:val="00EE0BE4"/>
    <w:rsid w:val="00F1372C"/>
    <w:rsid w:val="00F939DF"/>
    <w:rsid w:val="00FB6B8C"/>
    <w:rsid w:val="00FC196C"/>
    <w:rsid w:val="00FD0EFA"/>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A9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C5F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A9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C5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F6E0810B6F3146A010424692543F25" ma:contentTypeVersion="0" ma:contentTypeDescription="Create a new document." ma:contentTypeScope="" ma:versionID="251dd96c8834f003a9cef4c1ac857a8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F59AF53-4BCC-42F1-86B2-98875F169B57}">
  <ds:schemaRefs>
    <ds:schemaRef ds:uri="http://schemas.microsoft.com/office/2006/metadata/properties"/>
  </ds:schemaRefs>
</ds:datastoreItem>
</file>

<file path=customXml/itemProps2.xml><?xml version="1.0" encoding="utf-8"?>
<ds:datastoreItem xmlns:ds="http://schemas.openxmlformats.org/officeDocument/2006/customXml" ds:itemID="{F444B1F6-8342-45B8-9131-1F571BBFA3D9}">
  <ds:schemaRefs>
    <ds:schemaRef ds:uri="http://schemas.microsoft.com/sharepoint/v3/contenttype/forms"/>
  </ds:schemaRefs>
</ds:datastoreItem>
</file>

<file path=customXml/itemProps3.xml><?xml version="1.0" encoding="utf-8"?>
<ds:datastoreItem xmlns:ds="http://schemas.openxmlformats.org/officeDocument/2006/customXml" ds:itemID="{3145013A-A8A2-4D8C-844E-1AFBCD2BF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GEMS World Academy</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Hart</dc:creator>
  <cp:lastModifiedBy>Melanie Hart</cp:lastModifiedBy>
  <cp:revision>3</cp:revision>
  <cp:lastPrinted>2011-09-19T10:16:00Z</cp:lastPrinted>
  <dcterms:created xsi:type="dcterms:W3CDTF">2015-09-27T08:19:00Z</dcterms:created>
  <dcterms:modified xsi:type="dcterms:W3CDTF">2015-09-27T08:29:00Z</dcterms:modified>
</cp:coreProperties>
</file>